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1.做好人事科关于“对教育系统人员类型与工作量、学校课程计划执行、师资需求等情况”统计表格；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2.继续做好学生心理教育相关工作；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3.做好放学区域设施完善工作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1.做好本学年青年教师成长训练营计划及本学期教研活动计划；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2.完成免费教材作业本发放确认工作；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3.做好残疾学生数上报工作；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4.做好学籍审核相关准备工作；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5.做好小学教育事业情况上报工作；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6.做好少年宫活动及课后服务相关准备工作；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7.做好新生及插班生优教卡信息收集工作；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8.组织学生参加苏州市故事大王比赛；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9.市阅读和写作比赛选拔准备；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10.组织校青年教师语文评优课活动。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1.做好安全教育平台导入、调整工作；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2.继续做好学生上放学方式调查汇总工作。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1.抓好食品安全管理，规范食品操作流程，做好放心食堂工作；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2.落实做好学生点心餐的相关工作；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3.做好班级课桌椅的调配工作；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4.做好新学期的办公桌订购工作；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5.做好校园固定资产整理更新工作；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6.做好球场灯光系统的交付验收工作；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7.做好新一轮物业管理申报招标工作；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8.做好足球队相关后勤服务工作；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9.做好智慧校园设施设备的交付使用工作；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10.做好校园监控的后期调整工作；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11.做好看台足球队休息室改造的相关工作；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12.做好食堂相关用具的更替工作。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204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2023-09-05T23:16:15Z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