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第一周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1.做好人事科关于“对教育系统人员类型与工作量、学校课程计划执行、师资需求等情况”统计表格。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1.做好教材教参的发放工作；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2.开展第一周随堂停课活动；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3.做好残疾学生数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4.做好新生信息上报工作；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5.做好课后服务相关工作；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6.做好少年宫活动准备工作；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7.完成语音学习系统后台注册；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8.组织学生参加主题书法、绘画比赛。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1.做好安全教育平台导入、调整工作；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2.做好学生上放学方式调查汇总工作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上报团市委开学工作。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1.抓好食品安全管理，规范食品操作流程，做好放心食堂工作；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2.落实做好学生点心餐的相关工作；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3.做好班级课桌椅的调配工作；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4.做好新学期的办公桌订购工作；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5.做好校园固定资产整理更新工作；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6.做好球场灯光系统的交付验收工作；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7.做好新一轮物业管理申报招标工作；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8.做好足球队相关后勤服务工作；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9.做好智慧校园设施设备的交付使用工作；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10.做好校园监控的后期调整工作；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11.做好看台足球队休息室改造的相关工作；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12.做好食堂相关用具的更替工作。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1003BD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请各楼层以下周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值日教师：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1003BD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180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2023-09-05T06:35:17Z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