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1.做好部分首次及二次教师资格证注册的网上审核及材料整理、审核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2.做好2023教育事业年报的统计、平台填写及现场审核；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3.做好迎接国家优质均衡教育现场评估的相关准备工作。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1.检查专用教室（读书吧）环境文化布置情况；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2.组织教师参加各类数学学科比赛工作；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3.做好课改经验交流会的报名、申报等工作。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1.继续做好学生资助申请工作；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2.组织四年级学生进行体检；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3.召开三年级家长会；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4.组织二年级部分学生入队仪式（下雨顺延）。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1.抓好校园食品安全工作，着力监管好食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品入校安全；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2.继续做好优质教育均衡现场评估相关准备工作；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黄宇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吴玉婷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3.郑秋杰老师外出培训。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4.晨会课，王之娇老师在六2班开设晨会公开课，四、五、六年级的班主任老师参加听课，副班主任进班上晨会课。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今日“校长杯”班级足球联赛对阵班级（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下雨顺延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A组：六(3)VS六(4)，裁判员：童超伟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B组：六(8)VS六(9)，裁判员：周晓波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374ECF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2023-10-12T23:10:48Z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