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做好市级活动准备工作；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填报“2023年度基建年报统计”。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3.做好市级幼小衔接活动的准备工作；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4.做好双减工作的相关总结；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5.上交小学语文双减创新案例资料。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1.大课间组织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防踩踏演练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2.晨会课组织学生学习《营养与体重》的相关知识。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1.做好食品安全工作，着手营养餐厅创建准备；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2.做好华师大结对成果汇报工作的相关准备工作；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3.落实好校园绿植整备、补种工作；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4.做好学校更换体育器械项目的前期相关工作；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5.做好校园夏季蚊蝇预防专项工作；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6.做好专业足球场天然草坪养护考核，督促做好养护工作；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  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徐倩倩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3.上午第1节，朱新球老师在美术室1（六5班）上美术一课三议研讨课。上午第2节，徐倩倩老师在功能厅2（三2班）上数学同题异构研讨课。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4F42487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53A5875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2024-04-24T23:20:12Z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